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8B3F6" w14:textId="1CC768BB" w:rsidR="00BD2614" w:rsidRDefault="0041544D">
      <w:pPr>
        <w:pStyle w:val="Default"/>
        <w:spacing w:before="120" w:after="120"/>
        <w:jc w:val="center"/>
        <w:rPr>
          <w:sz w:val="22"/>
          <w:szCs w:val="22"/>
        </w:rPr>
      </w:pPr>
      <w:r>
        <w:rPr>
          <w:b/>
          <w:bCs/>
          <w:sz w:val="22"/>
          <w:szCs w:val="22"/>
          <w:u w:val="single"/>
        </w:rPr>
        <w:t xml:space="preserve">ANNEX A - FRAUD PREVENTION REQUIREMENTS </w:t>
      </w:r>
    </w:p>
    <w:p w14:paraId="27CC9812" w14:textId="77777777" w:rsidR="00BD2614" w:rsidRDefault="00BD2614">
      <w:pPr>
        <w:pStyle w:val="Default"/>
        <w:spacing w:before="120" w:after="120"/>
        <w:ind w:left="560" w:hanging="560"/>
        <w:rPr>
          <w:b/>
          <w:sz w:val="22"/>
          <w:szCs w:val="22"/>
        </w:rPr>
      </w:pPr>
      <w:r>
        <w:rPr>
          <w:b/>
          <w:sz w:val="22"/>
          <w:szCs w:val="22"/>
        </w:rPr>
        <w:t xml:space="preserve">1. General </w:t>
      </w:r>
    </w:p>
    <w:p w14:paraId="6EF2AAC0" w14:textId="77777777" w:rsidR="00BD2614" w:rsidRDefault="00BD2614">
      <w:pPr>
        <w:pStyle w:val="Default"/>
        <w:spacing w:before="120" w:after="120"/>
        <w:ind w:left="560" w:hanging="560"/>
        <w:rPr>
          <w:sz w:val="22"/>
          <w:szCs w:val="22"/>
        </w:rPr>
      </w:pPr>
      <w:r>
        <w:rPr>
          <w:sz w:val="22"/>
          <w:szCs w:val="22"/>
        </w:rPr>
        <w:t>1.1</w:t>
      </w:r>
      <w:r>
        <w:rPr>
          <w:sz w:val="22"/>
          <w:szCs w:val="22"/>
        </w:rPr>
        <w:tab/>
        <w:t>The Contractor and its supply chain shall:</w:t>
      </w:r>
    </w:p>
    <w:p w14:paraId="6E8D7B23" w14:textId="77777777" w:rsidR="00BD2614" w:rsidRDefault="00BD2614">
      <w:pPr>
        <w:pStyle w:val="Default"/>
        <w:spacing w:before="120" w:after="120"/>
        <w:ind w:left="560" w:hanging="560"/>
        <w:rPr>
          <w:sz w:val="22"/>
          <w:szCs w:val="22"/>
        </w:rPr>
      </w:pPr>
      <w:r>
        <w:rPr>
          <w:sz w:val="22"/>
          <w:szCs w:val="22"/>
        </w:rPr>
        <w:tab/>
        <w:t>a)</w:t>
      </w:r>
      <w:r>
        <w:rPr>
          <w:sz w:val="22"/>
          <w:szCs w:val="22"/>
        </w:rPr>
        <w:tab/>
        <w:t>Adhere to the MOD policy on fraud prevention.</w:t>
      </w:r>
    </w:p>
    <w:p w14:paraId="44B9E36D" w14:textId="77777777" w:rsidR="00BD2614" w:rsidRDefault="00BD2614">
      <w:pPr>
        <w:pStyle w:val="Default"/>
        <w:spacing w:before="120" w:after="120"/>
        <w:ind w:left="560" w:hanging="560"/>
        <w:rPr>
          <w:sz w:val="22"/>
          <w:szCs w:val="22"/>
        </w:rPr>
      </w:pPr>
      <w:r>
        <w:rPr>
          <w:sz w:val="22"/>
          <w:szCs w:val="22"/>
        </w:rPr>
        <w:tab/>
        <w:t>b)</w:t>
      </w:r>
      <w:r>
        <w:rPr>
          <w:sz w:val="22"/>
          <w:szCs w:val="22"/>
        </w:rPr>
        <w:tab/>
        <w:t>Have procedures in place to prevent and detect fraud, both within their own organisation and within those with whom they contact.</w:t>
      </w:r>
    </w:p>
    <w:p w14:paraId="2A56B43A" w14:textId="77777777" w:rsidR="00BD2614" w:rsidRDefault="00BD2614">
      <w:pPr>
        <w:pStyle w:val="Default"/>
        <w:spacing w:before="120" w:after="120"/>
        <w:rPr>
          <w:sz w:val="22"/>
          <w:szCs w:val="22"/>
        </w:rPr>
      </w:pPr>
      <w:r>
        <w:rPr>
          <w:sz w:val="22"/>
          <w:szCs w:val="22"/>
        </w:rPr>
        <w:t>1.2</w:t>
      </w:r>
      <w:r>
        <w:rPr>
          <w:sz w:val="22"/>
          <w:szCs w:val="22"/>
        </w:rPr>
        <w:tab/>
        <w:t>Fraud includes dishonest acts committed by the Employer’s staff, by external individuals or groups or by both employees and external parties working together to gain a financial advantage from the Employer.</w:t>
      </w:r>
    </w:p>
    <w:p w14:paraId="5B4CD090" w14:textId="77777777" w:rsidR="00BD2614" w:rsidRDefault="00BD2614">
      <w:pPr>
        <w:pStyle w:val="Default"/>
        <w:spacing w:before="120" w:after="120"/>
        <w:rPr>
          <w:sz w:val="22"/>
          <w:szCs w:val="22"/>
        </w:rPr>
      </w:pPr>
      <w:r>
        <w:rPr>
          <w:sz w:val="22"/>
          <w:szCs w:val="22"/>
        </w:rPr>
        <w:t>1.3</w:t>
      </w:r>
      <w:r>
        <w:rPr>
          <w:sz w:val="22"/>
          <w:szCs w:val="22"/>
        </w:rPr>
        <w:tab/>
        <w:t xml:space="preserve">Corruption involves external parties or the Employer’s staff making payments or bestowing benefits on other staff. Where corruption is involved there may not be any immediate loss to the </w:t>
      </w:r>
      <w:proofErr w:type="gramStart"/>
      <w:r>
        <w:rPr>
          <w:sz w:val="22"/>
          <w:szCs w:val="22"/>
        </w:rPr>
        <w:t>Employer</w:t>
      </w:r>
      <w:proofErr w:type="gramEnd"/>
      <w:r>
        <w:rPr>
          <w:sz w:val="22"/>
          <w:szCs w:val="22"/>
        </w:rPr>
        <w:t xml:space="preserve"> but positions of trust may have been abused. </w:t>
      </w:r>
    </w:p>
    <w:p w14:paraId="2CEA06B2" w14:textId="77777777" w:rsidR="00BD2614" w:rsidRDefault="00BD2614">
      <w:pPr>
        <w:pStyle w:val="Default"/>
        <w:spacing w:before="120" w:after="120"/>
        <w:rPr>
          <w:sz w:val="22"/>
          <w:szCs w:val="22"/>
        </w:rPr>
      </w:pPr>
      <w:r>
        <w:rPr>
          <w:sz w:val="22"/>
          <w:szCs w:val="22"/>
        </w:rPr>
        <w:t>1.4</w:t>
      </w:r>
      <w:r>
        <w:rPr>
          <w:sz w:val="22"/>
          <w:szCs w:val="22"/>
        </w:rPr>
        <w:tab/>
        <w:t xml:space="preserve">For the purposes of the Contract fraud and corruption are considered together. The Employer reserves the right to suspend or remove individuals or organisations suspected of committing fraud or corruption. </w:t>
      </w:r>
    </w:p>
    <w:p w14:paraId="290FA119" w14:textId="77777777" w:rsidR="00BD2614" w:rsidRDefault="00BD2614">
      <w:pPr>
        <w:pStyle w:val="Default"/>
        <w:spacing w:before="120" w:after="120"/>
        <w:ind w:left="560" w:hanging="560"/>
        <w:rPr>
          <w:b/>
          <w:sz w:val="22"/>
          <w:szCs w:val="22"/>
          <w:u w:val="single"/>
        </w:rPr>
      </w:pPr>
      <w:r>
        <w:rPr>
          <w:b/>
          <w:sz w:val="22"/>
          <w:szCs w:val="22"/>
        </w:rPr>
        <w:t>2. The MOD Policy on Fraud</w:t>
      </w:r>
      <w:r>
        <w:rPr>
          <w:b/>
          <w:sz w:val="22"/>
          <w:szCs w:val="22"/>
          <w:u w:val="single"/>
        </w:rPr>
        <w:t xml:space="preserve"> </w:t>
      </w:r>
    </w:p>
    <w:p w14:paraId="57A40C08" w14:textId="77777777" w:rsidR="00BD2614" w:rsidRDefault="00BD2614">
      <w:pPr>
        <w:pStyle w:val="Default"/>
        <w:spacing w:before="120" w:after="120"/>
        <w:rPr>
          <w:sz w:val="22"/>
          <w:szCs w:val="22"/>
        </w:rPr>
      </w:pPr>
      <w:r>
        <w:rPr>
          <w:sz w:val="22"/>
          <w:szCs w:val="22"/>
        </w:rPr>
        <w:t>2.1</w:t>
      </w:r>
      <w:r>
        <w:rPr>
          <w:sz w:val="22"/>
          <w:szCs w:val="22"/>
        </w:rPr>
        <w:tab/>
        <w:t xml:space="preserve">Dishonest and illegal activity will not be tolerated under any circumstances, irrespective of any loss or gain to the MOD or others. Furthermore, the MOD undertakes to investigate all cases of suspected fraud, theft and irregularity and, where appropriate, to prosecute cases or take disciplinary action. </w:t>
      </w:r>
    </w:p>
    <w:p w14:paraId="4B6E617A" w14:textId="77777777" w:rsidR="00BD2614" w:rsidRDefault="00BD2614">
      <w:pPr>
        <w:pStyle w:val="Default"/>
        <w:spacing w:before="120" w:after="120"/>
        <w:ind w:left="560" w:hanging="560"/>
        <w:rPr>
          <w:b/>
          <w:sz w:val="22"/>
          <w:szCs w:val="22"/>
        </w:rPr>
      </w:pPr>
      <w:r>
        <w:rPr>
          <w:b/>
          <w:sz w:val="22"/>
          <w:szCs w:val="22"/>
        </w:rPr>
        <w:t xml:space="preserve">3. Fraud and Corruption </w:t>
      </w:r>
    </w:p>
    <w:p w14:paraId="649E659A" w14:textId="77777777" w:rsidR="00BD2614" w:rsidRDefault="00BD2614">
      <w:pPr>
        <w:pStyle w:val="Default"/>
        <w:spacing w:before="120" w:after="120"/>
        <w:rPr>
          <w:sz w:val="22"/>
          <w:szCs w:val="22"/>
        </w:rPr>
      </w:pPr>
      <w:r>
        <w:rPr>
          <w:sz w:val="22"/>
          <w:szCs w:val="22"/>
        </w:rPr>
        <w:t>3.1</w:t>
      </w:r>
      <w:r>
        <w:rPr>
          <w:sz w:val="22"/>
          <w:szCs w:val="22"/>
        </w:rPr>
        <w:tab/>
        <w:t xml:space="preserve">The Fraud Act 2006 covers the offences referred to as fraud and it is for the court to determine in a </w:t>
      </w:r>
      <w:proofErr w:type="gramStart"/>
      <w:r>
        <w:rPr>
          <w:sz w:val="22"/>
          <w:szCs w:val="22"/>
        </w:rPr>
        <w:t>particular instance</w:t>
      </w:r>
      <w:proofErr w:type="gramEnd"/>
      <w:r>
        <w:rPr>
          <w:sz w:val="22"/>
          <w:szCs w:val="22"/>
        </w:rPr>
        <w:t xml:space="preserve"> whether fraud has occurred. The government internal audit manual defines fraud as the use of deception with the intention of obtaining an advantage, avoiding an obligation or causing loss to another party. </w:t>
      </w:r>
    </w:p>
    <w:p w14:paraId="2BACAE72" w14:textId="77777777" w:rsidR="00BD2614" w:rsidRDefault="00BD2614">
      <w:pPr>
        <w:pStyle w:val="Default"/>
        <w:spacing w:before="120" w:after="120"/>
        <w:rPr>
          <w:sz w:val="22"/>
          <w:szCs w:val="22"/>
        </w:rPr>
      </w:pPr>
      <w:r>
        <w:rPr>
          <w:sz w:val="22"/>
          <w:szCs w:val="22"/>
        </w:rPr>
        <w:t>3.2</w:t>
      </w:r>
      <w:r>
        <w:rPr>
          <w:sz w:val="22"/>
          <w:szCs w:val="22"/>
        </w:rPr>
        <w:tab/>
        <w:t xml:space="preserve">Corruption is defined in the Prevention of Corruption Act, 1906, </w:t>
      </w:r>
      <w:proofErr w:type="spellStart"/>
      <w:r>
        <w:rPr>
          <w:sz w:val="22"/>
          <w:szCs w:val="22"/>
        </w:rPr>
        <w:t>S.1</w:t>
      </w:r>
      <w:proofErr w:type="spellEnd"/>
      <w:r>
        <w:rPr>
          <w:sz w:val="22"/>
          <w:szCs w:val="22"/>
        </w:rPr>
        <w:t xml:space="preserve"> (1) and is the offering, giving, soliciting or acceptance of an inducement or reward which may influence a person to act against the interests of the organisation. The Act of 1906 applies to crown servants and employees of local authorities. The Prevention of Corruption Act, 1916 and the Criminal Justice Act, 1967 increased the penalties for corruption. </w:t>
      </w:r>
    </w:p>
    <w:p w14:paraId="1AAD1BAA" w14:textId="77777777" w:rsidR="00BD2614" w:rsidRDefault="00BD2614">
      <w:pPr>
        <w:pStyle w:val="Default"/>
        <w:spacing w:before="120" w:after="120"/>
        <w:ind w:left="560" w:hanging="560"/>
        <w:rPr>
          <w:b/>
          <w:sz w:val="22"/>
          <w:szCs w:val="22"/>
        </w:rPr>
      </w:pPr>
      <w:r>
        <w:rPr>
          <w:b/>
          <w:sz w:val="22"/>
          <w:szCs w:val="22"/>
        </w:rPr>
        <w:t xml:space="preserve">4. Procurement Fraud </w:t>
      </w:r>
    </w:p>
    <w:p w14:paraId="7E0B10D6" w14:textId="77777777" w:rsidR="00BD2614" w:rsidRDefault="00BD2614">
      <w:pPr>
        <w:pStyle w:val="Default"/>
        <w:spacing w:before="120" w:after="120"/>
        <w:rPr>
          <w:sz w:val="22"/>
          <w:szCs w:val="22"/>
        </w:rPr>
      </w:pPr>
      <w:r>
        <w:rPr>
          <w:sz w:val="22"/>
          <w:szCs w:val="22"/>
        </w:rPr>
        <w:t xml:space="preserve">4.1    Procurement fraud is the term used by the Employer to cover cases of fraud and corruption which involve a contractor or supplier (or potential contractor or supplier); such definition is deemed to include any companies or organisations that are, or are potentially, sub-contractors of such contractors or suppliers. Some examples of procurement fraud are: </w:t>
      </w:r>
    </w:p>
    <w:p w14:paraId="0991D7E8" w14:textId="77777777" w:rsidR="00BD2614" w:rsidRDefault="00BD2614">
      <w:pPr>
        <w:pStyle w:val="Default"/>
        <w:spacing w:before="120" w:after="120"/>
        <w:ind w:left="1120" w:hanging="400"/>
        <w:rPr>
          <w:color w:val="auto"/>
          <w:sz w:val="22"/>
          <w:szCs w:val="22"/>
        </w:rPr>
      </w:pPr>
      <w:r>
        <w:rPr>
          <w:color w:val="auto"/>
          <w:sz w:val="22"/>
          <w:szCs w:val="22"/>
        </w:rPr>
        <w:t xml:space="preserve">a) Submission of false or duplicate invoices. </w:t>
      </w:r>
    </w:p>
    <w:p w14:paraId="3B14A3FE" w14:textId="77777777" w:rsidR="00BD2614" w:rsidRDefault="00BD2614">
      <w:pPr>
        <w:pStyle w:val="Default"/>
        <w:spacing w:before="120" w:after="120"/>
        <w:ind w:left="1120" w:hanging="400"/>
        <w:rPr>
          <w:color w:val="auto"/>
          <w:sz w:val="22"/>
          <w:szCs w:val="22"/>
        </w:rPr>
      </w:pPr>
      <w:r>
        <w:rPr>
          <w:color w:val="auto"/>
          <w:sz w:val="22"/>
          <w:szCs w:val="22"/>
        </w:rPr>
        <w:t xml:space="preserve">b) Submission of claims for interim payment before entitlement. </w:t>
      </w:r>
    </w:p>
    <w:p w14:paraId="21E41068" w14:textId="77777777" w:rsidR="00BD2614" w:rsidRDefault="00BD2614">
      <w:pPr>
        <w:pStyle w:val="Default"/>
        <w:spacing w:before="120" w:after="120"/>
        <w:ind w:left="1120" w:hanging="400"/>
        <w:rPr>
          <w:color w:val="auto"/>
          <w:sz w:val="22"/>
          <w:szCs w:val="22"/>
        </w:rPr>
      </w:pPr>
      <w:r>
        <w:rPr>
          <w:color w:val="auto"/>
          <w:sz w:val="22"/>
          <w:szCs w:val="22"/>
        </w:rPr>
        <w:lastRenderedPageBreak/>
        <w:t xml:space="preserve">c) Supply of sub-standard items, sometimes in forged maker's packs. </w:t>
      </w:r>
    </w:p>
    <w:p w14:paraId="4556240C" w14:textId="77777777" w:rsidR="00BD2614" w:rsidRDefault="00BD2614">
      <w:pPr>
        <w:pStyle w:val="Default"/>
        <w:spacing w:before="120" w:after="120"/>
        <w:ind w:left="1120" w:hanging="400"/>
        <w:rPr>
          <w:color w:val="auto"/>
          <w:sz w:val="22"/>
          <w:szCs w:val="22"/>
        </w:rPr>
      </w:pPr>
      <w:r>
        <w:rPr>
          <w:color w:val="auto"/>
          <w:sz w:val="22"/>
          <w:szCs w:val="22"/>
        </w:rPr>
        <w:t xml:space="preserve">d) False certification of quality or quantity of goods. </w:t>
      </w:r>
    </w:p>
    <w:p w14:paraId="14B1B807" w14:textId="77777777" w:rsidR="00BD2614" w:rsidRDefault="00BD2614">
      <w:pPr>
        <w:pStyle w:val="Default"/>
        <w:spacing w:before="120" w:after="120"/>
        <w:ind w:left="1120" w:hanging="400"/>
        <w:rPr>
          <w:color w:val="auto"/>
          <w:sz w:val="22"/>
          <w:szCs w:val="22"/>
        </w:rPr>
      </w:pPr>
      <w:r>
        <w:rPr>
          <w:color w:val="auto"/>
          <w:sz w:val="22"/>
          <w:szCs w:val="22"/>
        </w:rPr>
        <w:t xml:space="preserve">e) False statements at price meetings or on quotation. </w:t>
      </w:r>
    </w:p>
    <w:p w14:paraId="00EDABF4" w14:textId="77777777" w:rsidR="00BD2614" w:rsidRDefault="00BD2614">
      <w:pPr>
        <w:pStyle w:val="Default"/>
        <w:spacing w:before="120" w:after="120"/>
        <w:ind w:left="1120" w:hanging="400"/>
        <w:rPr>
          <w:color w:val="auto"/>
          <w:sz w:val="22"/>
          <w:szCs w:val="22"/>
        </w:rPr>
      </w:pPr>
      <w:r>
        <w:rPr>
          <w:color w:val="auto"/>
          <w:sz w:val="22"/>
          <w:szCs w:val="22"/>
        </w:rPr>
        <w:t xml:space="preserve">f) Submission of rigged bids in competition (secret cartels). </w:t>
      </w:r>
    </w:p>
    <w:p w14:paraId="38EA6717" w14:textId="77777777" w:rsidR="00BD2614" w:rsidRDefault="00BD2614">
      <w:pPr>
        <w:pStyle w:val="Default"/>
        <w:spacing w:before="120" w:after="120"/>
        <w:ind w:left="1120" w:hanging="400"/>
        <w:rPr>
          <w:color w:val="auto"/>
          <w:sz w:val="22"/>
          <w:szCs w:val="22"/>
        </w:rPr>
      </w:pPr>
      <w:r>
        <w:rPr>
          <w:color w:val="auto"/>
          <w:sz w:val="22"/>
          <w:szCs w:val="22"/>
        </w:rPr>
        <w:t xml:space="preserve">g) Obtaining inside information on rival bids or MOD procurement plans. </w:t>
      </w:r>
    </w:p>
    <w:p w14:paraId="1381A0B8" w14:textId="77777777" w:rsidR="00BD2614" w:rsidRDefault="00BD2614">
      <w:pPr>
        <w:pStyle w:val="Default"/>
        <w:spacing w:before="120" w:after="120"/>
        <w:ind w:left="1120" w:hanging="400"/>
        <w:rPr>
          <w:color w:val="auto"/>
          <w:sz w:val="22"/>
          <w:szCs w:val="22"/>
        </w:rPr>
      </w:pPr>
      <w:r>
        <w:rPr>
          <w:color w:val="auto"/>
          <w:sz w:val="22"/>
          <w:szCs w:val="22"/>
        </w:rPr>
        <w:t xml:space="preserve">h) False accounting and cross-contract cost transfers. </w:t>
      </w:r>
    </w:p>
    <w:p w14:paraId="6EFF7D18" w14:textId="77777777" w:rsidR="00BD2614" w:rsidRDefault="00BD2614">
      <w:pPr>
        <w:pStyle w:val="Default"/>
        <w:spacing w:before="120" w:after="120"/>
        <w:ind w:left="1120" w:hanging="400"/>
        <w:rPr>
          <w:color w:val="auto"/>
          <w:sz w:val="22"/>
          <w:szCs w:val="22"/>
        </w:rPr>
      </w:pPr>
      <w:proofErr w:type="spellStart"/>
      <w:r>
        <w:rPr>
          <w:color w:val="auto"/>
          <w:sz w:val="22"/>
          <w:szCs w:val="22"/>
        </w:rPr>
        <w:t>i</w:t>
      </w:r>
      <w:proofErr w:type="spellEnd"/>
      <w:r>
        <w:rPr>
          <w:color w:val="auto"/>
          <w:sz w:val="22"/>
          <w:szCs w:val="22"/>
        </w:rPr>
        <w:t xml:space="preserve">) False claims for supply chain members or suppliers' costs. </w:t>
      </w:r>
    </w:p>
    <w:p w14:paraId="5A6F0225" w14:textId="77777777" w:rsidR="00BD2614" w:rsidRDefault="00BD2614">
      <w:pPr>
        <w:pStyle w:val="Default"/>
        <w:spacing w:before="120" w:after="120"/>
        <w:ind w:left="1120" w:hanging="400"/>
        <w:rPr>
          <w:color w:val="auto"/>
          <w:sz w:val="22"/>
          <w:szCs w:val="22"/>
        </w:rPr>
      </w:pPr>
      <w:r>
        <w:rPr>
          <w:color w:val="auto"/>
          <w:sz w:val="22"/>
          <w:szCs w:val="22"/>
        </w:rPr>
        <w:t xml:space="preserve">j) Unauthorised use of government furnished stores or equipment. </w:t>
      </w:r>
    </w:p>
    <w:p w14:paraId="6FB22C2A" w14:textId="77777777" w:rsidR="00BD2614" w:rsidRDefault="00BD2614">
      <w:pPr>
        <w:pStyle w:val="Default"/>
        <w:spacing w:before="120" w:after="120"/>
        <w:ind w:left="1120" w:hanging="400"/>
        <w:rPr>
          <w:color w:val="auto"/>
          <w:sz w:val="22"/>
          <w:szCs w:val="22"/>
        </w:rPr>
      </w:pPr>
      <w:r>
        <w:rPr>
          <w:color w:val="auto"/>
          <w:sz w:val="22"/>
          <w:szCs w:val="22"/>
        </w:rPr>
        <w:t xml:space="preserve">k) Rigging of specifications in favour of one contractor. </w:t>
      </w:r>
    </w:p>
    <w:p w14:paraId="21554896" w14:textId="77777777" w:rsidR="00BD2614" w:rsidRDefault="00BD2614">
      <w:pPr>
        <w:pStyle w:val="Default"/>
        <w:spacing w:before="120" w:after="120"/>
        <w:ind w:left="1120" w:hanging="400"/>
        <w:rPr>
          <w:color w:val="auto"/>
          <w:sz w:val="22"/>
          <w:szCs w:val="22"/>
        </w:rPr>
      </w:pPr>
      <w:r>
        <w:rPr>
          <w:color w:val="auto"/>
          <w:sz w:val="22"/>
          <w:szCs w:val="22"/>
        </w:rPr>
        <w:t xml:space="preserve">l) Underbidding with a view to recouping costs unfairly later. </w:t>
      </w:r>
    </w:p>
    <w:p w14:paraId="5FCE69BF" w14:textId="77777777" w:rsidR="00BD2614" w:rsidRDefault="00BD2614">
      <w:pPr>
        <w:pStyle w:val="Default"/>
        <w:spacing w:before="120" w:after="120"/>
        <w:ind w:left="1120" w:hanging="400"/>
        <w:rPr>
          <w:color w:val="auto"/>
          <w:sz w:val="22"/>
          <w:szCs w:val="22"/>
        </w:rPr>
      </w:pPr>
      <w:r>
        <w:rPr>
          <w:color w:val="auto"/>
          <w:sz w:val="22"/>
          <w:szCs w:val="22"/>
        </w:rPr>
        <w:t xml:space="preserve">m) Corruption or attempted corruption of MOD personnel. </w:t>
      </w:r>
    </w:p>
    <w:p w14:paraId="0CBBBAA1" w14:textId="77777777" w:rsidR="00BD2614" w:rsidRDefault="00BD2614">
      <w:pPr>
        <w:pStyle w:val="Default"/>
        <w:spacing w:before="120" w:after="120"/>
        <w:ind w:left="560" w:hanging="560"/>
        <w:rPr>
          <w:b/>
          <w:color w:val="auto"/>
          <w:sz w:val="22"/>
          <w:szCs w:val="22"/>
        </w:rPr>
      </w:pPr>
      <w:r>
        <w:rPr>
          <w:b/>
          <w:color w:val="auto"/>
          <w:sz w:val="22"/>
          <w:szCs w:val="22"/>
        </w:rPr>
        <w:t xml:space="preserve">5. Contractor's Anti-fraud Measures </w:t>
      </w:r>
    </w:p>
    <w:p w14:paraId="18F357BB" w14:textId="77777777" w:rsidR="00BD2614" w:rsidRDefault="00BD2614">
      <w:pPr>
        <w:pStyle w:val="Default"/>
        <w:spacing w:before="120" w:after="120"/>
        <w:rPr>
          <w:color w:val="auto"/>
          <w:sz w:val="22"/>
          <w:szCs w:val="22"/>
        </w:rPr>
      </w:pPr>
      <w:r>
        <w:rPr>
          <w:color w:val="auto"/>
          <w:sz w:val="22"/>
          <w:szCs w:val="22"/>
        </w:rPr>
        <w:t xml:space="preserve">5.1    The Contractor and its supply chain shall provide, maintain and implement anti-fraud measures and provide and maintain detailed information covering the totality of these. As a minimum, these measures shall include: </w:t>
      </w:r>
    </w:p>
    <w:p w14:paraId="4A795EF9" w14:textId="77777777" w:rsidR="00BD2614" w:rsidRDefault="00BD2614">
      <w:pPr>
        <w:pStyle w:val="Default"/>
        <w:spacing w:before="120" w:after="120"/>
        <w:ind w:left="1120" w:hanging="400"/>
        <w:rPr>
          <w:color w:val="auto"/>
          <w:sz w:val="22"/>
          <w:szCs w:val="22"/>
        </w:rPr>
      </w:pPr>
      <w:r>
        <w:rPr>
          <w:color w:val="auto"/>
          <w:sz w:val="22"/>
          <w:szCs w:val="22"/>
        </w:rPr>
        <w:t xml:space="preserve">a) A statement of commitment to ethical business behaviour. </w:t>
      </w:r>
    </w:p>
    <w:p w14:paraId="2D3D5F95" w14:textId="77777777" w:rsidR="00BD2614" w:rsidRDefault="00BD2614">
      <w:pPr>
        <w:pStyle w:val="Default"/>
        <w:spacing w:before="120" w:after="120"/>
        <w:ind w:left="1120" w:hanging="400"/>
        <w:rPr>
          <w:color w:val="auto"/>
          <w:sz w:val="22"/>
          <w:szCs w:val="22"/>
        </w:rPr>
      </w:pPr>
      <w:r>
        <w:rPr>
          <w:color w:val="auto"/>
          <w:sz w:val="22"/>
          <w:szCs w:val="22"/>
        </w:rPr>
        <w:t xml:space="preserve">b) A Fraud Policy Statement. </w:t>
      </w:r>
    </w:p>
    <w:p w14:paraId="2688AAE7" w14:textId="77777777" w:rsidR="00BD2614" w:rsidRDefault="00BD2614">
      <w:pPr>
        <w:pStyle w:val="Default"/>
        <w:spacing w:before="120" w:after="120"/>
        <w:ind w:left="1120" w:hanging="400"/>
        <w:rPr>
          <w:color w:val="auto"/>
          <w:sz w:val="22"/>
          <w:szCs w:val="22"/>
        </w:rPr>
      </w:pPr>
      <w:r>
        <w:rPr>
          <w:color w:val="auto"/>
          <w:sz w:val="22"/>
          <w:szCs w:val="22"/>
        </w:rPr>
        <w:t xml:space="preserve">c) A Fraud Response Plan. </w:t>
      </w:r>
    </w:p>
    <w:p w14:paraId="6411163D" w14:textId="77777777" w:rsidR="00BD2614" w:rsidRDefault="00BD2614">
      <w:pPr>
        <w:pStyle w:val="Default"/>
        <w:spacing w:before="120" w:after="120"/>
        <w:rPr>
          <w:color w:val="auto"/>
          <w:sz w:val="22"/>
          <w:szCs w:val="22"/>
        </w:rPr>
      </w:pPr>
      <w:r>
        <w:rPr>
          <w:color w:val="auto"/>
          <w:sz w:val="22"/>
          <w:szCs w:val="22"/>
        </w:rPr>
        <w:t>5.2</w:t>
      </w:r>
      <w:r>
        <w:rPr>
          <w:color w:val="auto"/>
          <w:sz w:val="22"/>
          <w:szCs w:val="22"/>
        </w:rPr>
        <w:tab/>
        <w:t xml:space="preserve">The statement of commitment to ethical business behaviour shall lay down parameters of what is / is not considered acceptable behaviour on the part of Contractor’s staff. </w:t>
      </w:r>
    </w:p>
    <w:p w14:paraId="7E8F1672" w14:textId="77777777" w:rsidR="00BD2614" w:rsidRDefault="00BD2614">
      <w:pPr>
        <w:pStyle w:val="Default"/>
        <w:spacing w:before="120" w:after="120"/>
        <w:ind w:left="560" w:hanging="560"/>
        <w:rPr>
          <w:color w:val="auto"/>
          <w:sz w:val="22"/>
          <w:szCs w:val="22"/>
        </w:rPr>
      </w:pPr>
      <w:r>
        <w:rPr>
          <w:color w:val="auto"/>
          <w:sz w:val="22"/>
          <w:szCs w:val="22"/>
        </w:rPr>
        <w:t xml:space="preserve">5.3 </w:t>
      </w:r>
      <w:r>
        <w:rPr>
          <w:color w:val="auto"/>
          <w:sz w:val="22"/>
          <w:szCs w:val="22"/>
        </w:rPr>
        <w:tab/>
      </w:r>
      <w:r>
        <w:rPr>
          <w:color w:val="auto"/>
          <w:sz w:val="22"/>
          <w:szCs w:val="22"/>
        </w:rPr>
        <w:tab/>
        <w:t xml:space="preserve">The Fraud Policy Statement, shall address as a minimum: </w:t>
      </w:r>
    </w:p>
    <w:p w14:paraId="525D1005" w14:textId="77777777" w:rsidR="00BD2614" w:rsidRDefault="00BD2614">
      <w:pPr>
        <w:pStyle w:val="Default"/>
        <w:spacing w:before="120" w:after="120"/>
        <w:ind w:left="1120" w:hanging="400"/>
        <w:rPr>
          <w:color w:val="auto"/>
          <w:sz w:val="22"/>
          <w:szCs w:val="22"/>
        </w:rPr>
      </w:pPr>
      <w:r>
        <w:rPr>
          <w:color w:val="auto"/>
          <w:sz w:val="22"/>
          <w:szCs w:val="22"/>
        </w:rPr>
        <w:t xml:space="preserve">a) Allocation of responsibilities for the overall management of fraud. </w:t>
      </w:r>
    </w:p>
    <w:p w14:paraId="573C6C5A" w14:textId="77777777" w:rsidR="00BD2614" w:rsidRDefault="00BD2614">
      <w:pPr>
        <w:pStyle w:val="Default"/>
        <w:spacing w:before="120" w:after="120"/>
        <w:ind w:left="720"/>
        <w:rPr>
          <w:color w:val="auto"/>
          <w:sz w:val="22"/>
          <w:szCs w:val="22"/>
        </w:rPr>
      </w:pPr>
      <w:r>
        <w:rPr>
          <w:color w:val="auto"/>
          <w:sz w:val="22"/>
          <w:szCs w:val="22"/>
        </w:rPr>
        <w:t xml:space="preserve">b) The procedures which all staff, supply chain members and suppliers should follow if fraud is detected or suspected. </w:t>
      </w:r>
    </w:p>
    <w:p w14:paraId="44159F0C" w14:textId="77777777" w:rsidR="00BD2614" w:rsidRDefault="00BD2614">
      <w:pPr>
        <w:pStyle w:val="Default"/>
        <w:spacing w:before="120" w:after="120"/>
        <w:ind w:left="1120" w:hanging="400"/>
        <w:rPr>
          <w:color w:val="auto"/>
          <w:sz w:val="22"/>
          <w:szCs w:val="22"/>
        </w:rPr>
      </w:pPr>
      <w:r>
        <w:rPr>
          <w:color w:val="auto"/>
          <w:sz w:val="22"/>
          <w:szCs w:val="22"/>
        </w:rPr>
        <w:t xml:space="preserve">c) Guidance on training for the protection and prevention of fraud. </w:t>
      </w:r>
    </w:p>
    <w:p w14:paraId="0C836DD9" w14:textId="77777777" w:rsidR="00BD2614" w:rsidRDefault="00BD2614">
      <w:pPr>
        <w:pStyle w:val="Default"/>
        <w:spacing w:before="120" w:after="120"/>
        <w:ind w:left="720"/>
        <w:rPr>
          <w:color w:val="auto"/>
          <w:sz w:val="22"/>
          <w:szCs w:val="22"/>
        </w:rPr>
      </w:pPr>
      <w:r>
        <w:rPr>
          <w:color w:val="auto"/>
          <w:sz w:val="22"/>
          <w:szCs w:val="22"/>
        </w:rPr>
        <w:t xml:space="preserve">d) Reference to the response plans that have been devised to deal with </w:t>
      </w:r>
      <w:proofErr w:type="gramStart"/>
      <w:r>
        <w:rPr>
          <w:color w:val="auto"/>
          <w:sz w:val="22"/>
          <w:szCs w:val="22"/>
        </w:rPr>
        <w:t>and  minimise</w:t>
      </w:r>
      <w:proofErr w:type="gramEnd"/>
      <w:r>
        <w:rPr>
          <w:color w:val="auto"/>
          <w:sz w:val="22"/>
          <w:szCs w:val="22"/>
        </w:rPr>
        <w:t xml:space="preserve"> the damage caused by any fraud or attempted fraud. </w:t>
      </w:r>
    </w:p>
    <w:p w14:paraId="2919D32F" w14:textId="77777777" w:rsidR="00BD2614" w:rsidRDefault="00BD2614">
      <w:pPr>
        <w:pStyle w:val="Default"/>
        <w:spacing w:before="120" w:after="120"/>
        <w:ind w:left="1120" w:hanging="400"/>
        <w:rPr>
          <w:color w:val="auto"/>
          <w:sz w:val="22"/>
          <w:szCs w:val="22"/>
        </w:rPr>
      </w:pPr>
      <w:r>
        <w:rPr>
          <w:color w:val="auto"/>
          <w:sz w:val="22"/>
          <w:szCs w:val="22"/>
        </w:rPr>
        <w:t xml:space="preserve">e) Reference to the Fraud Response Plan. </w:t>
      </w:r>
    </w:p>
    <w:p w14:paraId="5EC77223" w14:textId="77777777" w:rsidR="00BD2614" w:rsidRDefault="00BD2614">
      <w:pPr>
        <w:pStyle w:val="Default"/>
        <w:tabs>
          <w:tab w:val="left" w:pos="720"/>
          <w:tab w:val="left" w:pos="900"/>
        </w:tabs>
        <w:spacing w:before="120" w:after="120"/>
        <w:ind w:left="560" w:hanging="560"/>
        <w:rPr>
          <w:color w:val="auto"/>
          <w:sz w:val="22"/>
          <w:szCs w:val="22"/>
        </w:rPr>
      </w:pPr>
      <w:r>
        <w:rPr>
          <w:color w:val="auto"/>
          <w:sz w:val="22"/>
          <w:szCs w:val="22"/>
        </w:rPr>
        <w:t xml:space="preserve">5.4    The object of the Fraud Response Plan is to ensure that timely and </w:t>
      </w:r>
      <w:proofErr w:type="gramStart"/>
      <w:r>
        <w:rPr>
          <w:color w:val="auto"/>
          <w:sz w:val="22"/>
          <w:szCs w:val="22"/>
        </w:rPr>
        <w:t>effective  action</w:t>
      </w:r>
      <w:proofErr w:type="gramEnd"/>
      <w:r>
        <w:rPr>
          <w:color w:val="auto"/>
          <w:sz w:val="22"/>
          <w:szCs w:val="22"/>
        </w:rPr>
        <w:t xml:space="preserve"> can be taken to: </w:t>
      </w:r>
    </w:p>
    <w:p w14:paraId="24728E2B" w14:textId="77777777" w:rsidR="00BD2614" w:rsidRDefault="00BD2614">
      <w:pPr>
        <w:pStyle w:val="Default"/>
        <w:spacing w:before="120" w:after="120"/>
        <w:ind w:left="540"/>
        <w:rPr>
          <w:color w:val="auto"/>
          <w:sz w:val="22"/>
          <w:szCs w:val="22"/>
        </w:rPr>
      </w:pPr>
      <w:r>
        <w:rPr>
          <w:color w:val="auto"/>
          <w:sz w:val="22"/>
          <w:szCs w:val="22"/>
        </w:rPr>
        <w:t xml:space="preserve">a) Prevent losses of funds or other assets where fraud has occurred and to maximise recovery of losses. </w:t>
      </w:r>
    </w:p>
    <w:p w14:paraId="59C4DF36" w14:textId="77777777" w:rsidR="00BD2614" w:rsidRDefault="00BD2614">
      <w:pPr>
        <w:pStyle w:val="Default"/>
        <w:spacing w:before="120" w:after="120"/>
        <w:ind w:left="540"/>
        <w:rPr>
          <w:color w:val="auto"/>
          <w:sz w:val="22"/>
          <w:szCs w:val="22"/>
        </w:rPr>
      </w:pPr>
      <w:r>
        <w:rPr>
          <w:color w:val="auto"/>
          <w:sz w:val="22"/>
          <w:szCs w:val="22"/>
        </w:rPr>
        <w:t xml:space="preserve">b) Minimise the occurrence of fraud by taking rapid, appropriate and effective action at the first sign of fraud or possible fraud. </w:t>
      </w:r>
    </w:p>
    <w:p w14:paraId="70B4016B" w14:textId="77777777" w:rsidR="00BD2614" w:rsidRDefault="00BD2614">
      <w:pPr>
        <w:pStyle w:val="Default"/>
        <w:spacing w:before="120" w:after="120"/>
        <w:ind w:left="540"/>
        <w:rPr>
          <w:color w:val="auto"/>
          <w:sz w:val="22"/>
          <w:szCs w:val="22"/>
        </w:rPr>
      </w:pPr>
      <w:r>
        <w:rPr>
          <w:color w:val="auto"/>
          <w:sz w:val="22"/>
          <w:szCs w:val="22"/>
        </w:rPr>
        <w:t xml:space="preserve">c) Identify the fraudsters and maximise the success of any disciplinary / legal action taken. </w:t>
      </w:r>
    </w:p>
    <w:p w14:paraId="44A747CD" w14:textId="77777777" w:rsidR="00BD2614" w:rsidRDefault="00BD2614">
      <w:pPr>
        <w:pStyle w:val="Default"/>
        <w:spacing w:before="120" w:after="120"/>
        <w:ind w:left="540" w:firstLine="20"/>
        <w:rPr>
          <w:color w:val="auto"/>
          <w:sz w:val="22"/>
          <w:szCs w:val="22"/>
        </w:rPr>
      </w:pPr>
      <w:r>
        <w:rPr>
          <w:color w:val="auto"/>
          <w:sz w:val="22"/>
          <w:szCs w:val="22"/>
        </w:rPr>
        <w:lastRenderedPageBreak/>
        <w:t>d) Identify any lessons which can be acted upon in managing fraud in the future.</w:t>
      </w:r>
    </w:p>
    <w:p w14:paraId="607A6CE5" w14:textId="77777777" w:rsidR="00BD2614" w:rsidRDefault="00BD2614">
      <w:pPr>
        <w:pStyle w:val="Default"/>
        <w:spacing w:before="120" w:after="120"/>
        <w:ind w:left="1120" w:hanging="560"/>
        <w:rPr>
          <w:color w:val="auto"/>
          <w:sz w:val="22"/>
          <w:szCs w:val="22"/>
        </w:rPr>
      </w:pPr>
      <w:r>
        <w:rPr>
          <w:color w:val="auto"/>
          <w:sz w:val="22"/>
          <w:szCs w:val="22"/>
        </w:rPr>
        <w:t xml:space="preserve">e) Reduce any adverse impacts on the contractor and the MOD. </w:t>
      </w:r>
    </w:p>
    <w:p w14:paraId="53B07CD5" w14:textId="77777777" w:rsidR="00BD2614" w:rsidRDefault="00BD2614">
      <w:pPr>
        <w:pStyle w:val="Default"/>
        <w:spacing w:before="120" w:after="120"/>
        <w:ind w:left="560" w:hanging="560"/>
        <w:rPr>
          <w:color w:val="auto"/>
          <w:sz w:val="22"/>
          <w:szCs w:val="22"/>
        </w:rPr>
      </w:pPr>
      <w:r>
        <w:rPr>
          <w:color w:val="auto"/>
          <w:sz w:val="22"/>
          <w:szCs w:val="22"/>
        </w:rPr>
        <w:t xml:space="preserve">5.5    The Fraud Response Plan shall address the following areas: </w:t>
      </w:r>
    </w:p>
    <w:p w14:paraId="34B1E9F2" w14:textId="77777777" w:rsidR="00BD2614" w:rsidRDefault="00BD2614">
      <w:pPr>
        <w:pStyle w:val="Default"/>
        <w:spacing w:before="120" w:after="120"/>
        <w:ind w:left="1120" w:hanging="560"/>
        <w:rPr>
          <w:color w:val="auto"/>
          <w:sz w:val="22"/>
          <w:szCs w:val="22"/>
        </w:rPr>
      </w:pPr>
      <w:r>
        <w:rPr>
          <w:color w:val="auto"/>
          <w:sz w:val="22"/>
          <w:szCs w:val="22"/>
        </w:rPr>
        <w:t xml:space="preserve">a) Back to back arrangements with supply chain. </w:t>
      </w:r>
    </w:p>
    <w:p w14:paraId="2868B857" w14:textId="77777777" w:rsidR="00BD2614" w:rsidRDefault="00BD2614">
      <w:pPr>
        <w:pStyle w:val="Default"/>
        <w:spacing w:before="120" w:after="120"/>
        <w:ind w:left="540" w:firstLine="20"/>
        <w:rPr>
          <w:color w:val="auto"/>
          <w:sz w:val="22"/>
          <w:szCs w:val="22"/>
        </w:rPr>
      </w:pPr>
      <w:r>
        <w:rPr>
          <w:color w:val="auto"/>
          <w:sz w:val="22"/>
          <w:szCs w:val="22"/>
        </w:rPr>
        <w:t xml:space="preserve">b) Access to supply chain information for fraud prevention and open book   requirements. </w:t>
      </w:r>
    </w:p>
    <w:p w14:paraId="5474A9C3" w14:textId="77777777" w:rsidR="00BD2614" w:rsidRDefault="00BD2614">
      <w:pPr>
        <w:pStyle w:val="Default"/>
        <w:spacing w:before="120" w:after="120"/>
        <w:ind w:left="540"/>
        <w:rPr>
          <w:color w:val="auto"/>
          <w:sz w:val="22"/>
          <w:szCs w:val="22"/>
        </w:rPr>
      </w:pPr>
      <w:r>
        <w:rPr>
          <w:color w:val="auto"/>
          <w:sz w:val="22"/>
          <w:szCs w:val="22"/>
        </w:rPr>
        <w:t xml:space="preserve">c) The Contractor’s director to whom the fraud or suspicion of fraud should be reported in the first instance. </w:t>
      </w:r>
    </w:p>
    <w:p w14:paraId="1AA1749C" w14:textId="77777777" w:rsidR="00BD2614" w:rsidRDefault="00BD2614">
      <w:pPr>
        <w:pStyle w:val="Default"/>
        <w:spacing w:before="120" w:after="120"/>
        <w:ind w:left="540" w:firstLine="20"/>
        <w:rPr>
          <w:color w:val="auto"/>
          <w:sz w:val="22"/>
          <w:szCs w:val="22"/>
        </w:rPr>
      </w:pPr>
      <w:r>
        <w:rPr>
          <w:color w:val="auto"/>
          <w:sz w:val="22"/>
          <w:szCs w:val="22"/>
        </w:rPr>
        <w:t xml:space="preserve">d) The contact point in the MOD to whom the fraud or suspicion of fraud should be reported by that director. </w:t>
      </w:r>
    </w:p>
    <w:p w14:paraId="3F03452F" w14:textId="77777777" w:rsidR="00BD2614" w:rsidRDefault="00BD2614">
      <w:pPr>
        <w:pStyle w:val="Default"/>
        <w:spacing w:before="120" w:after="120"/>
        <w:ind w:left="540"/>
        <w:rPr>
          <w:color w:val="auto"/>
          <w:sz w:val="22"/>
          <w:szCs w:val="22"/>
        </w:rPr>
      </w:pPr>
      <w:r>
        <w:rPr>
          <w:color w:val="auto"/>
          <w:sz w:val="22"/>
          <w:szCs w:val="22"/>
        </w:rPr>
        <w:t xml:space="preserve">e) How the Contractor should investigate the fraud or suspected fraud together with what steps should be taken to minimise or eliminate the potential loss from the fraud or suspected fraud. </w:t>
      </w:r>
    </w:p>
    <w:p w14:paraId="7B8204F8" w14:textId="77777777" w:rsidR="00BD2614" w:rsidRDefault="00BD2614">
      <w:pPr>
        <w:pStyle w:val="Default"/>
        <w:spacing w:before="120" w:after="120"/>
        <w:ind w:left="1120" w:hanging="560"/>
        <w:rPr>
          <w:color w:val="auto"/>
          <w:sz w:val="22"/>
          <w:szCs w:val="22"/>
        </w:rPr>
      </w:pPr>
      <w:r>
        <w:rPr>
          <w:color w:val="auto"/>
          <w:sz w:val="22"/>
          <w:szCs w:val="22"/>
        </w:rPr>
        <w:t xml:space="preserve">f) How to ensure that any evidence is secured in a legally admissible form. </w:t>
      </w:r>
    </w:p>
    <w:p w14:paraId="4605A9AF" w14:textId="77777777" w:rsidR="00BD2614" w:rsidRDefault="00BD2614">
      <w:pPr>
        <w:pStyle w:val="Default"/>
        <w:spacing w:before="120" w:after="120"/>
        <w:ind w:left="1120" w:hanging="560"/>
        <w:rPr>
          <w:color w:val="auto"/>
          <w:sz w:val="22"/>
          <w:szCs w:val="22"/>
        </w:rPr>
      </w:pPr>
      <w:r>
        <w:rPr>
          <w:color w:val="auto"/>
          <w:sz w:val="22"/>
          <w:szCs w:val="22"/>
        </w:rPr>
        <w:t xml:space="preserve">g) If, when and how to contact the police. </w:t>
      </w:r>
    </w:p>
    <w:p w14:paraId="624B87B2" w14:textId="77777777" w:rsidR="00BD2614" w:rsidRDefault="00BD2614">
      <w:pPr>
        <w:pStyle w:val="Default"/>
        <w:spacing w:before="120" w:after="120"/>
        <w:ind w:left="1120" w:hanging="560"/>
        <w:rPr>
          <w:color w:val="auto"/>
          <w:sz w:val="22"/>
          <w:szCs w:val="22"/>
        </w:rPr>
      </w:pPr>
      <w:r>
        <w:rPr>
          <w:color w:val="auto"/>
          <w:sz w:val="22"/>
          <w:szCs w:val="22"/>
        </w:rPr>
        <w:t xml:space="preserve">h) How to initiate recovery action. </w:t>
      </w:r>
    </w:p>
    <w:p w14:paraId="06A1B1CD" w14:textId="77777777" w:rsidR="00BD2614" w:rsidRDefault="00BD2614">
      <w:pPr>
        <w:pStyle w:val="Default"/>
        <w:spacing w:before="120" w:after="120"/>
        <w:ind w:left="1120" w:hanging="560"/>
        <w:rPr>
          <w:color w:val="auto"/>
          <w:sz w:val="22"/>
          <w:szCs w:val="22"/>
        </w:rPr>
      </w:pPr>
      <w:proofErr w:type="spellStart"/>
      <w:r>
        <w:rPr>
          <w:color w:val="auto"/>
          <w:sz w:val="22"/>
          <w:szCs w:val="22"/>
        </w:rPr>
        <w:t>i</w:t>
      </w:r>
      <w:proofErr w:type="spellEnd"/>
      <w:r>
        <w:rPr>
          <w:color w:val="auto"/>
          <w:sz w:val="22"/>
          <w:szCs w:val="22"/>
        </w:rPr>
        <w:t xml:space="preserve">) Who else needs to be contacted. </w:t>
      </w:r>
    </w:p>
    <w:p w14:paraId="042EBBCD" w14:textId="77777777" w:rsidR="00BD2614" w:rsidRDefault="00BD2614">
      <w:pPr>
        <w:pStyle w:val="Default"/>
        <w:spacing w:before="120" w:after="120"/>
        <w:ind w:left="1120" w:hanging="560"/>
        <w:rPr>
          <w:color w:val="auto"/>
          <w:sz w:val="22"/>
          <w:szCs w:val="22"/>
        </w:rPr>
      </w:pPr>
      <w:r>
        <w:rPr>
          <w:color w:val="auto"/>
          <w:sz w:val="22"/>
          <w:szCs w:val="22"/>
        </w:rPr>
        <w:t xml:space="preserve">j) How to disseminate lessons learned to interested parties. </w:t>
      </w:r>
    </w:p>
    <w:p w14:paraId="0FE74F0A" w14:textId="77777777" w:rsidR="00BD2614" w:rsidRDefault="00BD2614">
      <w:pPr>
        <w:pStyle w:val="Default"/>
        <w:spacing w:before="120" w:after="120"/>
        <w:ind w:left="540"/>
        <w:rPr>
          <w:color w:val="auto"/>
          <w:sz w:val="22"/>
          <w:szCs w:val="22"/>
        </w:rPr>
      </w:pPr>
      <w:r>
        <w:rPr>
          <w:color w:val="auto"/>
          <w:sz w:val="22"/>
          <w:szCs w:val="22"/>
        </w:rPr>
        <w:t xml:space="preserve">k) How to protect informants from reprisals whilst at the same time ensuring adequate arrangements are in place to protect individuals from unfounded or malicious allegations. </w:t>
      </w:r>
    </w:p>
    <w:p w14:paraId="37CFE283" w14:textId="77777777" w:rsidR="00BD2614" w:rsidRDefault="00BD2614">
      <w:pPr>
        <w:pStyle w:val="Default"/>
        <w:spacing w:before="120" w:after="120"/>
        <w:rPr>
          <w:color w:val="auto"/>
          <w:sz w:val="22"/>
          <w:szCs w:val="22"/>
        </w:rPr>
      </w:pPr>
      <w:r>
        <w:rPr>
          <w:color w:val="auto"/>
          <w:sz w:val="22"/>
          <w:szCs w:val="22"/>
        </w:rPr>
        <w:t xml:space="preserve">5.6   In providing copies of the above three documents (and any other document considered relevant), the contractor shall state for each document: </w:t>
      </w:r>
    </w:p>
    <w:p w14:paraId="3D31980D" w14:textId="77777777" w:rsidR="00BD2614" w:rsidRDefault="00BD2614">
      <w:pPr>
        <w:pStyle w:val="Default"/>
        <w:spacing w:before="120" w:after="120"/>
        <w:ind w:left="1120" w:hanging="560"/>
        <w:rPr>
          <w:color w:val="auto"/>
          <w:sz w:val="22"/>
          <w:szCs w:val="22"/>
        </w:rPr>
      </w:pPr>
      <w:r>
        <w:rPr>
          <w:color w:val="auto"/>
          <w:sz w:val="22"/>
          <w:szCs w:val="22"/>
        </w:rPr>
        <w:t xml:space="preserve">a) Date of issue. </w:t>
      </w:r>
    </w:p>
    <w:p w14:paraId="32A30A1C" w14:textId="77777777" w:rsidR="00BD2614" w:rsidRDefault="00BD2614">
      <w:pPr>
        <w:pStyle w:val="Default"/>
        <w:spacing w:before="120" w:after="120"/>
        <w:ind w:left="1120" w:hanging="560"/>
        <w:rPr>
          <w:color w:val="auto"/>
          <w:sz w:val="22"/>
          <w:szCs w:val="22"/>
        </w:rPr>
      </w:pPr>
      <w:r>
        <w:rPr>
          <w:color w:val="auto"/>
          <w:sz w:val="22"/>
          <w:szCs w:val="22"/>
        </w:rPr>
        <w:t xml:space="preserve">b) Nature &amp; extent of its dissemination. </w:t>
      </w:r>
    </w:p>
    <w:p w14:paraId="33C7906A" w14:textId="77777777" w:rsidR="00BD2614" w:rsidRDefault="00BD2614">
      <w:pPr>
        <w:pStyle w:val="Default"/>
        <w:spacing w:before="120" w:after="120"/>
        <w:ind w:left="1120" w:hanging="560"/>
        <w:rPr>
          <w:color w:val="auto"/>
          <w:sz w:val="20"/>
          <w:szCs w:val="20"/>
        </w:rPr>
      </w:pPr>
      <w:r>
        <w:rPr>
          <w:color w:val="auto"/>
          <w:sz w:val="22"/>
          <w:szCs w:val="22"/>
        </w:rPr>
        <w:t xml:space="preserve">c) Frequency of updates. </w:t>
      </w:r>
    </w:p>
    <w:p w14:paraId="09FC0DD9" w14:textId="77777777" w:rsidR="00BD2614" w:rsidRDefault="00BD2614">
      <w:pPr>
        <w:pStyle w:val="Default"/>
        <w:spacing w:before="120" w:after="120"/>
        <w:ind w:hanging="20"/>
        <w:rPr>
          <w:color w:val="auto"/>
          <w:sz w:val="22"/>
          <w:szCs w:val="22"/>
        </w:rPr>
      </w:pPr>
      <w:r>
        <w:rPr>
          <w:color w:val="auto"/>
          <w:sz w:val="22"/>
          <w:szCs w:val="22"/>
        </w:rPr>
        <w:t xml:space="preserve">5.7   The Fraud Response Plan shall be issued, maintained and updated in accordance with AQAP 2110. </w:t>
      </w:r>
    </w:p>
    <w:p w14:paraId="25AC016B" w14:textId="77777777" w:rsidR="00BD2614" w:rsidRDefault="00BD2614">
      <w:pPr>
        <w:jc w:val="right"/>
        <w:rPr>
          <w:rFonts w:ascii="Arial" w:hAnsi="Arial" w:cs="Arial"/>
          <w:sz w:val="22"/>
          <w:szCs w:val="22"/>
        </w:rPr>
      </w:pPr>
    </w:p>
    <w:sectPr w:rsidR="00BD2614">
      <w:headerReference w:type="even" r:id="rId10"/>
      <w:headerReference w:type="default" r:id="rId11"/>
      <w:footerReference w:type="even" r:id="rId12"/>
      <w:footerReference w:type="default" r:id="rId13"/>
      <w:headerReference w:type="first" r:id="rId14"/>
      <w:footerReference w:type="first" r:id="rId15"/>
      <w:pgSz w:w="11906" w:h="16838"/>
      <w:pgMar w:top="1276" w:right="1983" w:bottom="1440" w:left="1800" w:header="720" w:footer="720"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49006" w14:textId="77777777" w:rsidR="00904CDC" w:rsidRDefault="00904CDC">
      <w:r>
        <w:separator/>
      </w:r>
    </w:p>
  </w:endnote>
  <w:endnote w:type="continuationSeparator" w:id="0">
    <w:p w14:paraId="592C945A" w14:textId="77777777" w:rsidR="00904CDC" w:rsidRDefault="00904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D0E19" w14:textId="77777777" w:rsidR="0041544D" w:rsidRDefault="004154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15167" w14:textId="77777777" w:rsidR="0041544D" w:rsidRDefault="0041544D">
    <w:pPr>
      <w:pStyle w:val="Header"/>
      <w:jc w:val="center"/>
      <w:rPr>
        <w:rFonts w:ascii="Arial" w:hAnsi="Arial" w:cs="Arial"/>
      </w:rPr>
    </w:pPr>
  </w:p>
  <w:p w14:paraId="28B44ECD" w14:textId="1B526033" w:rsidR="00BD2614" w:rsidRDefault="00367FAF">
    <w:pPr>
      <w:pStyle w:val="Header"/>
      <w:jc w:val="center"/>
      <w:rPr>
        <w:rFonts w:ascii="Arial" w:hAnsi="Arial" w:cs="Arial"/>
      </w:rPr>
    </w:pPr>
    <w:r>
      <w:rPr>
        <w:rStyle w:val="PageNumber"/>
        <w:rFonts w:ascii="Arial" w:hAnsi="Arial" w:cs="Arial"/>
      </w:rPr>
      <w:t xml:space="preserve">A - </w:t>
    </w:r>
    <w:r w:rsidR="00BD2614">
      <w:rPr>
        <w:rStyle w:val="PageNumber"/>
        <w:rFonts w:ascii="Arial" w:hAnsi="Arial" w:cs="Arial"/>
      </w:rPr>
      <w:fldChar w:fldCharType="begin"/>
    </w:r>
    <w:r w:rsidR="00BD2614">
      <w:rPr>
        <w:rStyle w:val="PageNumber"/>
        <w:rFonts w:ascii="Arial" w:hAnsi="Arial" w:cs="Arial"/>
      </w:rPr>
      <w:instrText xml:space="preserve"> PAGE </w:instrText>
    </w:r>
    <w:r w:rsidR="00BD2614">
      <w:rPr>
        <w:rStyle w:val="PageNumber"/>
        <w:rFonts w:ascii="Arial" w:hAnsi="Arial" w:cs="Arial"/>
      </w:rPr>
      <w:fldChar w:fldCharType="separate"/>
    </w:r>
    <w:r>
      <w:rPr>
        <w:rStyle w:val="PageNumber"/>
        <w:rFonts w:ascii="Arial" w:hAnsi="Arial" w:cs="Arial"/>
        <w:noProof/>
      </w:rPr>
      <w:t>1</w:t>
    </w:r>
    <w:r w:rsidR="00BD2614">
      <w:rPr>
        <w:rStyle w:val="PageNumber"/>
        <w:rFonts w:ascii="Arial" w:hAnsi="Arial" w:cs="Arial"/>
      </w:rPr>
      <w:fldChar w:fldCharType="end"/>
    </w:r>
  </w:p>
  <w:p w14:paraId="283FE099" w14:textId="77777777" w:rsidR="00BD2614" w:rsidRDefault="00BD2614">
    <w:pPr>
      <w:pStyle w:val="Header"/>
      <w:jc w:val="center"/>
      <w:rPr>
        <w:rFonts w:ascii="Arial" w:hAnsi="Arial" w:cs="Arial"/>
      </w:rPr>
    </w:pPr>
  </w:p>
  <w:p w14:paraId="35981B0F" w14:textId="77777777" w:rsidR="00BD2614" w:rsidRDefault="00BD2614">
    <w:pPr>
      <w:pStyle w:val="Header"/>
      <w:jc w:val="center"/>
      <w:rPr>
        <w:rFonts w:ascii="Arial" w:hAnsi="Arial" w:cs="Arial"/>
      </w:rPr>
    </w:pPr>
  </w:p>
  <w:p w14:paraId="2752E13F" w14:textId="77777777" w:rsidR="00BD2614" w:rsidRDefault="00BD26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6C64D" w14:textId="77777777" w:rsidR="0041544D" w:rsidRDefault="00415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F3991" w14:textId="77777777" w:rsidR="00904CDC" w:rsidRDefault="00904CDC">
      <w:r>
        <w:separator/>
      </w:r>
    </w:p>
  </w:footnote>
  <w:footnote w:type="continuationSeparator" w:id="0">
    <w:p w14:paraId="444305BD" w14:textId="77777777" w:rsidR="00904CDC" w:rsidRDefault="00904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DAA18" w14:textId="77777777" w:rsidR="0041544D" w:rsidRDefault="004154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486B9" w14:textId="49628595" w:rsidR="0041544D" w:rsidRPr="0041544D" w:rsidRDefault="0041544D" w:rsidP="0041544D">
    <w:pPr>
      <w:ind w:left="20" w:right="-28"/>
      <w:jc w:val="right"/>
      <w:rPr>
        <w:rFonts w:ascii="Arial" w:eastAsia="Arial" w:hAnsi="Arial" w:cs="Arial"/>
        <w:sz w:val="22"/>
        <w:szCs w:val="22"/>
      </w:rPr>
    </w:pPr>
    <w:r w:rsidRPr="0041544D">
      <w:rPr>
        <w:rFonts w:ascii="Arial" w:eastAsia="Arial" w:hAnsi="Arial" w:cs="Arial"/>
        <w:sz w:val="22"/>
        <w:szCs w:val="22"/>
      </w:rPr>
      <w:t xml:space="preserve">Annex A to </w:t>
    </w:r>
    <w:r w:rsidRPr="0041544D">
      <w:rPr>
        <w:rFonts w:ascii="Arial" w:eastAsia="Arial" w:hAnsi="Arial" w:cs="Arial"/>
        <w:sz w:val="22"/>
        <w:szCs w:val="22"/>
      </w:rPr>
      <w:t xml:space="preserve">Schedule </w:t>
    </w:r>
    <w:r w:rsidRPr="0041544D">
      <w:rPr>
        <w:rFonts w:ascii="Arial" w:eastAsia="Arial" w:hAnsi="Arial" w:cs="Arial"/>
        <w:sz w:val="22"/>
        <w:szCs w:val="22"/>
      </w:rPr>
      <w:t>5</w:t>
    </w:r>
  </w:p>
  <w:p w14:paraId="54D12D44" w14:textId="0B9760A0" w:rsidR="0041544D" w:rsidRPr="0041544D" w:rsidRDefault="0041544D" w:rsidP="0041544D">
    <w:pPr>
      <w:ind w:left="20" w:right="-28"/>
      <w:jc w:val="right"/>
      <w:rPr>
        <w:rFonts w:ascii="Arial" w:eastAsia="Arial" w:hAnsi="Arial" w:cs="Arial"/>
        <w:sz w:val="22"/>
        <w:szCs w:val="22"/>
      </w:rPr>
    </w:pPr>
    <w:bookmarkStart w:id="0" w:name="_GoBack"/>
    <w:r w:rsidRPr="0041544D">
      <w:rPr>
        <w:rFonts w:ascii="Arial" w:eastAsia="Arial" w:hAnsi="Arial" w:cs="Arial"/>
        <w:sz w:val="22"/>
        <w:szCs w:val="22"/>
      </w:rPr>
      <w:t xml:space="preserve">Fraud Prevention </w:t>
    </w:r>
    <w:r w:rsidRPr="0041544D">
      <w:rPr>
        <w:rFonts w:ascii="Arial" w:eastAsia="Arial" w:hAnsi="Arial" w:cs="Arial"/>
        <w:sz w:val="22"/>
        <w:szCs w:val="22"/>
      </w:rPr>
      <w:t>Requirements</w:t>
    </w:r>
  </w:p>
  <w:bookmarkEnd w:id="0"/>
  <w:p w14:paraId="77C25D2C" w14:textId="77777777" w:rsidR="0041544D" w:rsidRPr="0041544D" w:rsidRDefault="0041544D" w:rsidP="0041544D">
    <w:pPr>
      <w:ind w:left="20" w:right="-28"/>
      <w:jc w:val="right"/>
      <w:rPr>
        <w:rFonts w:ascii="Arial" w:eastAsia="Arial" w:hAnsi="Arial" w:cs="Arial"/>
        <w:sz w:val="22"/>
        <w:szCs w:val="22"/>
      </w:rPr>
    </w:pPr>
    <w:r w:rsidRPr="0041544D">
      <w:rPr>
        <w:rFonts w:ascii="Arial" w:eastAsia="Arial" w:hAnsi="Arial" w:cs="Arial"/>
        <w:sz w:val="22"/>
        <w:szCs w:val="22"/>
      </w:rPr>
      <w:t xml:space="preserve">ITT Ref - </w:t>
    </w:r>
    <w:r w:rsidRPr="0041544D">
      <w:rPr>
        <w:rFonts w:ascii="Arial" w:hAnsi="Arial" w:cs="Arial"/>
        <w:sz w:val="22"/>
        <w:szCs w:val="22"/>
      </w:rPr>
      <w:t>700723368</w:t>
    </w:r>
  </w:p>
  <w:p w14:paraId="767D4828" w14:textId="77777777" w:rsidR="0041544D" w:rsidRPr="0041544D" w:rsidRDefault="0041544D" w:rsidP="0041544D">
    <w:pPr>
      <w:pStyle w:val="Header"/>
      <w:jc w:val="right"/>
      <w:rPr>
        <w:rFonts w:ascii="Arial" w:hAnsi="Arial" w:cs="Arial"/>
        <w:sz w:val="22"/>
        <w:szCs w:val="22"/>
      </w:rPr>
    </w:pPr>
  </w:p>
  <w:p w14:paraId="362BABFB" w14:textId="7AAD2284" w:rsidR="00BD2614" w:rsidRPr="0041544D" w:rsidRDefault="0041544D">
    <w:pPr>
      <w:pStyle w:val="Header"/>
      <w:jc w:val="center"/>
      <w:rPr>
        <w:rFonts w:ascii="Arial" w:hAnsi="Arial" w:cs="Arial"/>
        <w:sz w:val="22"/>
        <w:szCs w:val="22"/>
      </w:rPr>
    </w:pPr>
    <w:r w:rsidRPr="0041544D">
      <w:rPr>
        <w:rFonts w:ascii="Arial" w:hAnsi="Arial" w:cs="Arial"/>
        <w:sz w:val="22"/>
        <w:szCs w:val="22"/>
      </w:rPr>
      <w:t>OFFICIAL</w:t>
    </w:r>
  </w:p>
  <w:p w14:paraId="44719EA4" w14:textId="089EA4FF" w:rsidR="00BD2614" w:rsidRDefault="00BD2614" w:rsidP="00367FAF">
    <w:pPr>
      <w:pStyle w:val="Header"/>
      <w:jc w:val="center"/>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CD252" w14:textId="77777777" w:rsidR="0041544D" w:rsidRDefault="00415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24254B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19471A"/>
    <w:multiLevelType w:val="multilevel"/>
    <w:tmpl w:val="F0047D18"/>
    <w:lvl w:ilvl="0">
      <w:start w:val="6"/>
      <w:numFmt w:val="decimal"/>
      <w:lvlText w:val="%1"/>
      <w:lvlJc w:val="left"/>
      <w:pPr>
        <w:tabs>
          <w:tab w:val="num" w:pos="720"/>
        </w:tabs>
        <w:ind w:left="720" w:hanging="72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11953BCC"/>
    <w:multiLevelType w:val="hybridMultilevel"/>
    <w:tmpl w:val="23827F80"/>
    <w:lvl w:ilvl="0" w:tplc="E7B0DC68">
      <w:start w:val="1"/>
      <w:numFmt w:val="lowerLetter"/>
      <w:lvlText w:val="%1)"/>
      <w:lvlJc w:val="left"/>
      <w:pPr>
        <w:tabs>
          <w:tab w:val="num" w:pos="1140"/>
        </w:tabs>
        <w:ind w:left="1140" w:hanging="435"/>
      </w:pPr>
    </w:lvl>
    <w:lvl w:ilvl="1" w:tplc="08090019">
      <w:start w:val="1"/>
      <w:numFmt w:val="lowerLetter"/>
      <w:lvlText w:val="%2."/>
      <w:lvlJc w:val="left"/>
      <w:pPr>
        <w:tabs>
          <w:tab w:val="num" w:pos="1785"/>
        </w:tabs>
        <w:ind w:left="1785" w:hanging="360"/>
      </w:pPr>
    </w:lvl>
    <w:lvl w:ilvl="2" w:tplc="0809001B">
      <w:start w:val="1"/>
      <w:numFmt w:val="lowerRoman"/>
      <w:lvlText w:val="%3."/>
      <w:lvlJc w:val="right"/>
      <w:pPr>
        <w:tabs>
          <w:tab w:val="num" w:pos="2505"/>
        </w:tabs>
        <w:ind w:left="2505" w:hanging="18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 w15:restartNumberingAfterBreak="0">
    <w:nsid w:val="173F0B1F"/>
    <w:multiLevelType w:val="hybridMultilevel"/>
    <w:tmpl w:val="525AA188"/>
    <w:lvl w:ilvl="0" w:tplc="0809000F">
      <w:start w:val="5"/>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AA058E"/>
    <w:multiLevelType w:val="multilevel"/>
    <w:tmpl w:val="3C004C6C"/>
    <w:lvl w:ilvl="0">
      <w:start w:val="1"/>
      <w:numFmt w:val="decimal"/>
      <w:pStyle w:val="CENRPBodyText"/>
      <w:lvlText w:val="%1."/>
      <w:lvlJc w:val="left"/>
      <w:pPr>
        <w:tabs>
          <w:tab w:val="num" w:pos="360"/>
        </w:tabs>
        <w:ind w:left="0" w:firstLine="0"/>
      </w:pPr>
      <w:rPr>
        <w:rFonts w:ascii="Arial" w:hAnsi="Arial" w:hint="default"/>
        <w:b w:val="0"/>
        <w:i w:val="0"/>
        <w:sz w:val="22"/>
        <w:u w:val="none"/>
      </w:rPr>
    </w:lvl>
    <w:lvl w:ilvl="1">
      <w:start w:val="1"/>
      <w:numFmt w:val="lowerLetter"/>
      <w:lvlText w:val="%2."/>
      <w:lvlJc w:val="left"/>
      <w:pPr>
        <w:tabs>
          <w:tab w:val="num" w:pos="927"/>
        </w:tabs>
        <w:ind w:left="567" w:firstLine="0"/>
      </w:pPr>
      <w:rPr>
        <w:rFonts w:ascii="Arial" w:hAnsi="Arial" w:hint="default"/>
        <w:b w:val="0"/>
        <w:i w:val="0"/>
        <w:sz w:val="22"/>
        <w:u w:val="none"/>
      </w:rPr>
    </w:lvl>
    <w:lvl w:ilvl="2">
      <w:start w:val="1"/>
      <w:numFmt w:val="decimal"/>
      <w:lvlText w:val="(%3)"/>
      <w:lvlJc w:val="left"/>
      <w:pPr>
        <w:tabs>
          <w:tab w:val="num" w:pos="1494"/>
        </w:tabs>
        <w:ind w:left="1134" w:firstLine="0"/>
      </w:pPr>
      <w:rPr>
        <w:rFonts w:ascii="Arial" w:hAnsi="Arial" w:hint="default"/>
        <w:b w:val="0"/>
        <w:i w:val="0"/>
        <w:sz w:val="22"/>
      </w:rPr>
    </w:lvl>
    <w:lvl w:ilvl="3">
      <w:start w:val="1"/>
      <w:numFmt w:val="lowerLetter"/>
      <w:lvlText w:val="(%4)"/>
      <w:lvlJc w:val="left"/>
      <w:pPr>
        <w:tabs>
          <w:tab w:val="num" w:pos="2061"/>
        </w:tabs>
        <w:ind w:left="1701" w:firstLine="0"/>
      </w:pPr>
      <w:rPr>
        <w:rFonts w:ascii="Arial" w:hAnsi="Arial" w:hint="default"/>
        <w:b w:val="0"/>
        <w:i w:val="0"/>
        <w:sz w:val="22"/>
      </w:rPr>
    </w:lvl>
    <w:lvl w:ilvl="4">
      <w:start w:val="1"/>
      <w:numFmt w:val="lowerRoman"/>
      <w:lvlText w:val="%5"/>
      <w:lvlJc w:val="left"/>
      <w:pPr>
        <w:tabs>
          <w:tab w:val="num" w:pos="2988"/>
        </w:tabs>
        <w:ind w:left="2268" w:firstLine="0"/>
      </w:pPr>
      <w:rPr>
        <w:rFonts w:ascii="Arial" w:hAnsi="Arial" w:hint="default"/>
        <w:b w:val="0"/>
        <w:i w:val="0"/>
        <w:sz w:val="22"/>
      </w:rPr>
    </w:lvl>
    <w:lvl w:ilvl="5">
      <w:start w:val="1"/>
      <w:numFmt w:val="lowerRoman"/>
      <w:lvlText w:val="(%6)"/>
      <w:lvlJc w:val="left"/>
      <w:pPr>
        <w:tabs>
          <w:tab w:val="num" w:pos="4122"/>
        </w:tabs>
        <w:ind w:left="3402" w:firstLine="0"/>
      </w:pPr>
      <w:rPr>
        <w:rFonts w:ascii="Arial" w:hAnsi="Arial" w:hint="default"/>
        <w:b w:val="0"/>
        <w:i w:val="0"/>
        <w:sz w:val="22"/>
      </w:rPr>
    </w:lvl>
    <w:lvl w:ilvl="6">
      <w:start w:val="1"/>
      <w:numFmt w:val="lowerRoman"/>
      <w:lvlText w:val="(%7)"/>
      <w:lvlJc w:val="left"/>
      <w:pPr>
        <w:tabs>
          <w:tab w:val="num" w:pos="4689"/>
        </w:tabs>
        <w:ind w:left="3969"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480"/>
        </w:tabs>
        <w:ind w:left="5760" w:firstLine="0"/>
      </w:pPr>
    </w:lvl>
  </w:abstractNum>
  <w:abstractNum w:abstractNumId="5" w15:restartNumberingAfterBreak="0">
    <w:nsid w:val="28DD5C1E"/>
    <w:multiLevelType w:val="multilevel"/>
    <w:tmpl w:val="6D98E25C"/>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25B17C1"/>
    <w:multiLevelType w:val="singleLevel"/>
    <w:tmpl w:val="1D20ACE4"/>
    <w:lvl w:ilvl="0">
      <w:start w:val="1"/>
      <w:numFmt w:val="decimal"/>
      <w:pStyle w:val="CENRPBodytext0"/>
      <w:lvlText w:val="%1."/>
      <w:lvlJc w:val="left"/>
      <w:pPr>
        <w:tabs>
          <w:tab w:val="num" w:pos="360"/>
        </w:tabs>
        <w:ind w:left="360" w:hanging="360"/>
      </w:pPr>
    </w:lvl>
  </w:abstractNum>
  <w:abstractNum w:abstractNumId="7" w15:restartNumberingAfterBreak="0">
    <w:nsid w:val="327F7149"/>
    <w:multiLevelType w:val="single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8" w15:restartNumberingAfterBreak="0">
    <w:nsid w:val="536A61D2"/>
    <w:multiLevelType w:val="hybridMultilevel"/>
    <w:tmpl w:val="B9126B3E"/>
    <w:lvl w:ilvl="0" w:tplc="6DC2272A">
      <w:start w:val="1"/>
      <w:numFmt w:val="lowerLetter"/>
      <w:lvlText w:val="%1)"/>
      <w:lvlJc w:val="left"/>
      <w:pPr>
        <w:tabs>
          <w:tab w:val="num" w:pos="1440"/>
        </w:tabs>
        <w:ind w:left="144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15:restartNumberingAfterBreak="0">
    <w:nsid w:val="77C87C13"/>
    <w:multiLevelType w:val="multilevel"/>
    <w:tmpl w:val="73D4FF28"/>
    <w:lvl w:ilvl="0">
      <w:start w:val="1"/>
      <w:numFmt w:val="decimal"/>
      <w:lvlText w:val="%1."/>
      <w:legacy w:legacy="1" w:legacySpace="0" w:legacyIndent="708"/>
      <w:lvlJc w:val="left"/>
      <w:pPr>
        <w:ind w:left="708" w:hanging="708"/>
      </w:pPr>
    </w:lvl>
    <w:lvl w:ilvl="1">
      <w:start w:val="1"/>
      <w:numFmt w:val="lowerLetter"/>
      <w:lvlText w:val="%2)"/>
      <w:legacy w:legacy="1" w:legacySpace="0" w:legacyIndent="708"/>
      <w:lvlJc w:val="left"/>
      <w:pPr>
        <w:ind w:left="1416" w:hanging="708"/>
      </w:pPr>
    </w:lvl>
    <w:lvl w:ilvl="2">
      <w:start w:val="1"/>
      <w:numFmt w:val="lowerRoman"/>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num w:numId="1">
    <w:abstractNumId w:val="3"/>
  </w:num>
  <w:num w:numId="2">
    <w:abstractNumId w:val="7"/>
  </w:num>
  <w:num w:numId="3">
    <w:abstractNumId w:val="0"/>
  </w:num>
  <w:num w:numId="4">
    <w:abstractNumId w:val="4"/>
  </w:num>
  <w:num w:numId="5">
    <w:abstractNumId w:val="6"/>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4494"/>
    <w:rsid w:val="00367FAF"/>
    <w:rsid w:val="0041544D"/>
    <w:rsid w:val="006A4494"/>
    <w:rsid w:val="00904CDC"/>
    <w:rsid w:val="00BD2614"/>
    <w:rsid w:val="00F934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38209D"/>
  <w15:docId w15:val="{B657EB16-6D4C-4A5F-A11F-DCCFD726C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jc w:val="center"/>
      <w:outlineLvl w:val="0"/>
    </w:pPr>
    <w:rPr>
      <w:b/>
      <w:sz w:val="24"/>
      <w:u w:val="single"/>
    </w:rPr>
  </w:style>
  <w:style w:type="paragraph" w:styleId="Heading2">
    <w:name w:val="heading 2"/>
    <w:basedOn w:val="Normal"/>
    <w:next w:val="Normal"/>
    <w:qFormat/>
    <w:pPr>
      <w:keepNext/>
      <w:ind w:right="-383"/>
      <w:jc w:val="right"/>
      <w:outlineLvl w:val="1"/>
    </w:pPr>
    <w:rPr>
      <w:b/>
      <w:sz w:val="24"/>
      <w:u w:val="single"/>
    </w:rPr>
  </w:style>
  <w:style w:type="paragraph" w:styleId="Heading3">
    <w:name w:val="heading 3"/>
    <w:basedOn w:val="Normal"/>
    <w:next w:val="Normal"/>
    <w:qFormat/>
    <w:pPr>
      <w:keepNext/>
      <w:ind w:right="-383"/>
      <w:jc w:val="right"/>
      <w:outlineLvl w:val="2"/>
    </w:pPr>
    <w:rPr>
      <w:b/>
      <w:sz w:val="22"/>
      <w:u w:val="single"/>
    </w:rPr>
  </w:style>
  <w:style w:type="paragraph" w:styleId="Heading4">
    <w:name w:val="heading 4"/>
    <w:basedOn w:val="Normal"/>
    <w:next w:val="Normal"/>
    <w:qFormat/>
    <w:pPr>
      <w:keepNext/>
      <w:jc w:val="right"/>
      <w:outlineLvl w:val="3"/>
    </w:pPr>
    <w:rPr>
      <w:sz w:val="24"/>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 w:val="left" w:pos="0"/>
      </w:tabs>
      <w:suppressAutoHyphens/>
      <w:jc w:val="both"/>
    </w:pPr>
    <w:rPr>
      <w:spacing w:val="-3"/>
      <w:sz w:val="24"/>
    </w:rPr>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851"/>
      <w:jc w:val="both"/>
    </w:pPr>
    <w:rPr>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pPr>
      <w:numPr>
        <w:numId w:val="3"/>
      </w:numPr>
      <w:jc w:val="both"/>
    </w:pPr>
    <w:rPr>
      <w:sz w:val="24"/>
      <w:szCs w:val="24"/>
      <w:lang w:eastAsia="en-US"/>
    </w:rPr>
  </w:style>
  <w:style w:type="paragraph" w:customStyle="1" w:styleId="CENRPBodyText">
    <w:name w:val="CENRP Body Text"/>
    <w:basedOn w:val="Normal"/>
    <w:autoRedefine/>
    <w:pPr>
      <w:widowControl w:val="0"/>
      <w:numPr>
        <w:numId w:val="4"/>
      </w:numPr>
      <w:tabs>
        <w:tab w:val="clear" w:pos="360"/>
        <w:tab w:val="left" w:pos="567"/>
      </w:tabs>
      <w:spacing w:after="240"/>
    </w:pPr>
    <w:rPr>
      <w:rFonts w:ascii="Arial" w:hAnsi="Arial"/>
      <w:sz w:val="24"/>
    </w:rPr>
  </w:style>
  <w:style w:type="paragraph" w:customStyle="1" w:styleId="CENRPHeading">
    <w:name w:val="CENRP Heading"/>
    <w:basedOn w:val="Heading1"/>
    <w:autoRedefine/>
    <w:pPr>
      <w:keepNext w:val="0"/>
      <w:spacing w:after="240"/>
      <w:jc w:val="left"/>
    </w:pPr>
    <w:rPr>
      <w:rFonts w:ascii="Arial" w:hAnsi="Arial"/>
      <w:b w:val="0"/>
      <w:caps/>
      <w:color w:val="000000"/>
      <w:sz w:val="22"/>
      <w:szCs w:val="22"/>
    </w:rPr>
  </w:style>
  <w:style w:type="paragraph" w:customStyle="1" w:styleId="CENRPBodytext0">
    <w:name w:val="CENRP Body text"/>
    <w:basedOn w:val="Normal"/>
    <w:pPr>
      <w:numPr>
        <w:numId w:val="5"/>
      </w:numPr>
      <w:tabs>
        <w:tab w:val="clear" w:pos="360"/>
        <w:tab w:val="left" w:pos="567"/>
      </w:tabs>
      <w:spacing w:after="240"/>
      <w:ind w:left="357" w:hanging="357"/>
    </w:pPr>
    <w:rPr>
      <w:rFonts w:ascii="Arial" w:hAnsi="Arial"/>
      <w:sz w:val="24"/>
    </w:rPr>
  </w:style>
  <w:style w:type="character" w:styleId="Hyperlink">
    <w:name w:val="Hyperlink"/>
    <w:basedOn w:val="DefaultParagraphFont"/>
    <w:rPr>
      <w:color w:val="0000FF"/>
      <w:u w:val="single"/>
    </w:rPr>
  </w:style>
  <w:style w:type="paragraph" w:styleId="NormalWeb">
    <w:name w:val="Normal (Web)"/>
    <w:basedOn w:val="Normal"/>
    <w:pPr>
      <w:spacing w:before="100" w:beforeAutospacing="1" w:after="100" w:afterAutospacing="1"/>
    </w:pPr>
    <w:rPr>
      <w:sz w:val="24"/>
      <w:szCs w:val="24"/>
      <w:lang w:val="en-US" w:eastAsia="en-U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HeaderChar">
    <w:name w:val="Header Char"/>
    <w:link w:val="Header"/>
    <w:rsid w:val="00367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858904">
      <w:bodyDiv w:val="1"/>
      <w:marLeft w:val="0"/>
      <w:marRight w:val="0"/>
      <w:marTop w:val="0"/>
      <w:marBottom w:val="0"/>
      <w:divBdr>
        <w:top w:val="none" w:sz="0" w:space="0" w:color="auto"/>
        <w:left w:val="none" w:sz="0" w:space="0" w:color="auto"/>
        <w:bottom w:val="none" w:sz="0" w:space="0" w:color="auto"/>
        <w:right w:val="none" w:sz="0" w:space="0" w:color="auto"/>
      </w:divBdr>
    </w:div>
    <w:div w:id="1084228482">
      <w:bodyDiv w:val="1"/>
      <w:marLeft w:val="0"/>
      <w:marRight w:val="0"/>
      <w:marTop w:val="0"/>
      <w:marBottom w:val="0"/>
      <w:divBdr>
        <w:top w:val="none" w:sz="0" w:space="0" w:color="auto"/>
        <w:left w:val="none" w:sz="0" w:space="0" w:color="auto"/>
        <w:bottom w:val="none" w:sz="0" w:space="0" w:color="auto"/>
        <w:right w:val="none" w:sz="0" w:space="0" w:color="auto"/>
      </w:divBdr>
    </w:div>
    <w:div w:id="1152797586">
      <w:bodyDiv w:val="1"/>
      <w:marLeft w:val="0"/>
      <w:marRight w:val="0"/>
      <w:marTop w:val="0"/>
      <w:marBottom w:val="0"/>
      <w:divBdr>
        <w:top w:val="none" w:sz="0" w:space="0" w:color="auto"/>
        <w:left w:val="none" w:sz="0" w:space="0" w:color="auto"/>
        <w:bottom w:val="none" w:sz="0" w:space="0" w:color="auto"/>
        <w:right w:val="none" w:sz="0" w:space="0" w:color="auto"/>
      </w:divBdr>
    </w:div>
    <w:div w:id="1158035832">
      <w:bodyDiv w:val="1"/>
      <w:marLeft w:val="0"/>
      <w:marRight w:val="0"/>
      <w:marTop w:val="0"/>
      <w:marBottom w:val="0"/>
      <w:divBdr>
        <w:top w:val="none" w:sz="0" w:space="0" w:color="auto"/>
        <w:left w:val="none" w:sz="0" w:space="0" w:color="auto"/>
        <w:bottom w:val="none" w:sz="0" w:space="0" w:color="auto"/>
        <w:right w:val="none" w:sz="0" w:space="0" w:color="auto"/>
      </w:divBdr>
    </w:div>
    <w:div w:id="1202746382">
      <w:bodyDiv w:val="1"/>
      <w:marLeft w:val="0"/>
      <w:marRight w:val="0"/>
      <w:marTop w:val="0"/>
      <w:marBottom w:val="0"/>
      <w:divBdr>
        <w:top w:val="none" w:sz="0" w:space="0" w:color="auto"/>
        <w:left w:val="none" w:sz="0" w:space="0" w:color="auto"/>
        <w:bottom w:val="none" w:sz="0" w:space="0" w:color="auto"/>
        <w:right w:val="none" w:sz="0" w:space="0" w:color="auto"/>
      </w:divBdr>
    </w:div>
    <w:div w:id="1245727343">
      <w:bodyDiv w:val="1"/>
      <w:marLeft w:val="0"/>
      <w:marRight w:val="0"/>
      <w:marTop w:val="0"/>
      <w:marBottom w:val="0"/>
      <w:divBdr>
        <w:top w:val="none" w:sz="0" w:space="0" w:color="auto"/>
        <w:left w:val="none" w:sz="0" w:space="0" w:color="auto"/>
        <w:bottom w:val="none" w:sz="0" w:space="0" w:color="auto"/>
        <w:right w:val="none" w:sz="0" w:space="0" w:color="auto"/>
      </w:divBdr>
    </w:div>
    <w:div w:id="1600748200">
      <w:bodyDiv w:val="1"/>
      <w:marLeft w:val="0"/>
      <w:marRight w:val="0"/>
      <w:marTop w:val="0"/>
      <w:marBottom w:val="0"/>
      <w:divBdr>
        <w:top w:val="none" w:sz="0" w:space="0" w:color="auto"/>
        <w:left w:val="none" w:sz="0" w:space="0" w:color="auto"/>
        <w:bottom w:val="none" w:sz="0" w:space="0" w:color="auto"/>
        <w:right w:val="none" w:sz="0" w:space="0" w:color="auto"/>
      </w:divBdr>
    </w:div>
    <w:div w:id="186451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1CAEB73F068D41963A8058E03DD7D9" ma:contentTypeVersion="14" ma:contentTypeDescription="Create a new document." ma:contentTypeScope="" ma:versionID="b2814e1663f7e5c1da5f28f53937e1d2">
  <xsd:schema xmlns:xsd="http://www.w3.org/2001/XMLSchema" xmlns:xs="http://www.w3.org/2001/XMLSchema" xmlns:p="http://schemas.microsoft.com/office/2006/metadata/properties" xmlns:ns3="63628e35-cb44-48f4-9a8c-21735e2238e7" xmlns:ns4="e0a06b77-d8cb-475e-860d-b51a9695776d" targetNamespace="http://schemas.microsoft.com/office/2006/metadata/properties" ma:root="true" ma:fieldsID="c2d45fe023e2c0f333307716e859e755" ns3:_="" ns4:_="">
    <xsd:import namespace="63628e35-cb44-48f4-9a8c-21735e2238e7"/>
    <xsd:import namespace="e0a06b77-d8cb-475e-860d-b51a9695776d"/>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28e35-cb44-48f4-9a8c-21735e2238e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06b77-d8cb-475e-860d-b51a9695776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le_x0020_System_x0020_Path xmlns="63628e35-cb44-48f4-9a8c-21735e2238e7" xsi:nil="true"/>
    <Source_x0020_Folder_x0020_Path xmlns="63628e35-cb44-48f4-9a8c-21735e2238e7" xsi:nil="true"/>
  </documentManagement>
</p:properties>
</file>

<file path=customXml/itemProps1.xml><?xml version="1.0" encoding="utf-8"?>
<ds:datastoreItem xmlns:ds="http://schemas.openxmlformats.org/officeDocument/2006/customXml" ds:itemID="{5FADC1F3-621E-4AFD-8FF1-0BC5A2B28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28e35-cb44-48f4-9a8c-21735e2238e7"/>
    <ds:schemaRef ds:uri="e0a06b77-d8cb-475e-860d-b51a96957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FA74E-7016-45C4-9664-6DB6703BB876}">
  <ds:schemaRefs>
    <ds:schemaRef ds:uri="http://schemas.microsoft.com/sharepoint/v3/contenttype/forms"/>
  </ds:schemaRefs>
</ds:datastoreItem>
</file>

<file path=customXml/itemProps3.xml><?xml version="1.0" encoding="utf-8"?>
<ds:datastoreItem xmlns:ds="http://schemas.openxmlformats.org/officeDocument/2006/customXml" ds:itemID="{AD10B96D-24D3-45F1-B88B-6A439721A3D2}">
  <ds:schemaRefs>
    <ds:schemaRef ds:uri="http://purl.org/dc/elements/1.1/"/>
    <ds:schemaRef ds:uri="http://purl.org/dc/dcmitype/"/>
    <ds:schemaRef ds:uri="http://schemas.openxmlformats.org/package/2006/metadata/core-properties"/>
    <ds:schemaRef ds:uri="http://www.w3.org/XML/1998/namespace"/>
    <ds:schemaRef ds:uri="http://schemas.microsoft.com/office/infopath/2007/PartnerControls"/>
    <ds:schemaRef ds:uri="http://schemas.microsoft.com/office/2006/documentManagement/types"/>
    <ds:schemaRef ds:uri="e0a06b77-d8cb-475e-860d-b51a9695776d"/>
    <ds:schemaRef ds:uri="63628e35-cb44-48f4-9a8c-21735e2238e7"/>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939</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ANNEX M</vt:lpstr>
    </vt:vector>
  </TitlesOfParts>
  <Company>MoD</Company>
  <LinksUpToDate>false</LinksUpToDate>
  <CharactersWithSpaces>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M</dc:title>
  <dc:creator>DCTCPM1</dc:creator>
  <cp:lastModifiedBy>Johnson, Amy C1 (DIO Comrcl-O T OPC13)</cp:lastModifiedBy>
  <cp:revision>2</cp:revision>
  <cp:lastPrinted>2013-10-22T15:56:00Z</cp:lastPrinted>
  <dcterms:created xsi:type="dcterms:W3CDTF">2021-02-14T21:03:00Z</dcterms:created>
  <dcterms:modified xsi:type="dcterms:W3CDTF">2021-02-14T21:03:00Z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0x010100D11CAEB73F068D41963A8058E03DD7D9</vt:lpwstr>
  </property>
</Properties>
</file>